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4412D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E87536">
        <w:rPr>
          <w:rFonts w:ascii="VerdanaRegular" w:hAnsi="VerdanaRegular" w:cs="VerdanaRegular"/>
          <w:color w:val="000000"/>
          <w:lang w:val="en-US"/>
        </w:rPr>
        <w:t>Medicină</w:t>
      </w:r>
      <w:proofErr w:type="spellEnd"/>
      <w:r w:rsidRPr="00E87536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lang w:val="en-US"/>
        </w:rPr>
        <w:t>Nucleară</w:t>
      </w:r>
      <w:proofErr w:type="spellEnd"/>
    </w:p>
    <w:p w14:paraId="7C9530B0" w14:textId="71E0420C" w:rsid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E87536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E87536">
        <w:rPr>
          <w:rFonts w:ascii="VerdanaRegular" w:hAnsi="VerdanaRegular" w:cs="VerdanaRegular"/>
          <w:color w:val="000000"/>
          <w:lang w:val="en-US"/>
        </w:rPr>
        <w:t>:</w:t>
      </w:r>
    </w:p>
    <w:p w14:paraId="4352BA33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0279CBDF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87536"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  <w:t xml:space="preserve">a)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Cabinet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Medicină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Nucleară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- diagnostic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/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tratament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radioizotopic</w:t>
      </w:r>
      <w:proofErr w:type="spellEnd"/>
    </w:p>
    <w:p w14:paraId="158EEE46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gamma camera cu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fără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SPECT-CT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/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scanner PET-CT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/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scanner PET-RM;</w:t>
      </w:r>
    </w:p>
    <w:p w14:paraId="2757B91E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- hot lab (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echivalent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6B657B87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Opţional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ecograf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2F40DCC2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87536"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  <w:t xml:space="preserve">b)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Cabinet de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Medicină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Nucleară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-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Osteodensitometrie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6661DBE9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osteodensitometru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DXA;</w:t>
      </w:r>
    </w:p>
    <w:p w14:paraId="533E66E4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BFE0C3A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taliometru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C27C6E9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Opţional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ecograf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1D06E18A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87536"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  <w:t xml:space="preserve">c)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Cabinet de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Medicină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Nucleară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-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Consultaţii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imagistice</w:t>
      </w:r>
      <w:proofErr w:type="spellEnd"/>
    </w:p>
    <w:p w14:paraId="2C073F94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nu se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recomandă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dotare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minimală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acest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caz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2D1EDF71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Opţional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ecograf</w:t>
      </w:r>
      <w:proofErr w:type="spellEnd"/>
    </w:p>
    <w:p w14:paraId="146EC141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Observaţii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77F88DDC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conform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pregătirii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profesionale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medicilor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specialişti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medicină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nucleară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cabinetul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Medicină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Nucleară</w:t>
      </w:r>
      <w:proofErr w:type="spellEnd"/>
    </w:p>
    <w:p w14:paraId="15673A6B" w14:textId="77777777" w:rsidR="00E87536" w:rsidRPr="00E87536" w:rsidRDefault="00E87536" w:rsidP="00E87536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poate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fi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organizat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mai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multe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moduri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fiecare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un standard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propriu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dotare</w:t>
      </w:r>
      <w:proofErr w:type="spellEnd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87536">
        <w:rPr>
          <w:rFonts w:ascii="VerdanaRegular" w:hAnsi="VerdanaRegular" w:cs="VerdanaRegular"/>
          <w:color w:val="000000"/>
          <w:sz w:val="24"/>
          <w:szCs w:val="24"/>
          <w:lang w:val="en-US"/>
        </w:rPr>
        <w:t>minimă</w:t>
      </w:r>
      <w:proofErr w:type="spellEnd"/>
    </w:p>
    <w:p w14:paraId="519682D3" w14:textId="57BE14DC" w:rsidR="00412AB0" w:rsidRPr="00E87536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</w:pPr>
    </w:p>
    <w:p w14:paraId="32333010" w14:textId="77777777" w:rsidR="00E87536" w:rsidRPr="00E87536" w:rsidRDefault="00E87536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F3D5D72" w14:textId="3036B7CE" w:rsidR="00412AB0" w:rsidRPr="00E87536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Pr="00E87536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Pr="00E87536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Pr="00E87536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Pr="00E87536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E2019A8" w14:textId="33C1AEE2" w:rsidR="004E5617" w:rsidRDefault="00412AB0" w:rsidP="000C1563">
      <w:pPr>
        <w:autoSpaceDE w:val="0"/>
        <w:autoSpaceDN w:val="0"/>
        <w:adjustRightInd w:val="0"/>
        <w:spacing w:after="0" w:line="240" w:lineRule="auto"/>
        <w:rPr>
          <w:rFonts w:ascii="VerdanaBold" w:hAnsi="VerdanaBold" w:cs="VerdanaBold"/>
          <w:b/>
          <w:bCs/>
          <w:color w:val="900000"/>
          <w:sz w:val="21"/>
          <w:szCs w:val="21"/>
          <w:lang w:val="en-US"/>
        </w:rPr>
      </w:pPr>
      <w:r w:rsidRPr="00412AB0"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  <w:t xml:space="preserve"> </w:t>
      </w: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0C1563"/>
    <w:rsid w:val="001076DE"/>
    <w:rsid w:val="001324C4"/>
    <w:rsid w:val="001B6F2D"/>
    <w:rsid w:val="002A61E4"/>
    <w:rsid w:val="00412AB0"/>
    <w:rsid w:val="004E5617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87536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2020-07-08T11:51:00Z</dcterms:created>
  <dcterms:modified xsi:type="dcterms:W3CDTF">2021-03-22T11:34:00Z</dcterms:modified>
</cp:coreProperties>
</file>